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B4F9" w14:textId="2E35BB1A" w:rsidR="009A7584" w:rsidRPr="00D7161C" w:rsidRDefault="00D46624" w:rsidP="009A7584">
      <w:pPr>
        <w:pStyle w:val="Heading2"/>
        <w:rPr>
          <w:rFonts w:eastAsia="Times New Roman" w:cs="Times New Roman"/>
          <w:color w:val="106470"/>
          <w:szCs w:val="28"/>
          <w:lang w:eastAsia="en-US"/>
        </w:rPr>
      </w:pPr>
      <w:r w:rsidRPr="00D7161C">
        <w:rPr>
          <w:rFonts w:eastAsia="Times New Roman" w:cs="Times New Roman"/>
          <w:color w:val="106470"/>
          <w:szCs w:val="28"/>
          <w:lang w:eastAsia="en-US"/>
        </w:rPr>
        <w:t>Research Proposal Template</w:t>
      </w:r>
      <w:r w:rsidR="009A7584" w:rsidRPr="00D7161C">
        <w:rPr>
          <w:rFonts w:eastAsia="Times New Roman" w:cs="Times New Roman"/>
          <w:color w:val="106470"/>
          <w:szCs w:val="28"/>
          <w:lang w:eastAsia="en-US"/>
        </w:rPr>
        <w:t xml:space="preserve"> (500 – 1000 words)</w:t>
      </w:r>
    </w:p>
    <w:p w14:paraId="664D19F1" w14:textId="470DC6AB" w:rsidR="009A7584" w:rsidRDefault="00487817" w:rsidP="00487817">
      <w:r>
        <w:t>We</w:t>
      </w:r>
      <w:r w:rsidR="00D7161C">
        <w:t xml:space="preserve"> </w:t>
      </w:r>
      <w:r>
        <w:t xml:space="preserve">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009A7584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009A7584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009A7584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009A7584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009A7584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0FE71E51" w:rsidR="003D186A" w:rsidRPr="00555361" w:rsidRDefault="003D186A" w:rsidP="003D186A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 proposed main research question (or hypothesis), which should be focused and</w:t>
            </w:r>
            <w:r w:rsidR="00A33242">
              <w:rPr>
                <w:i/>
                <w:sz w:val="20"/>
              </w:rPr>
              <w:t xml:space="preserve"> </w:t>
            </w:r>
            <w:r w:rsidR="00C13027" w:rsidRPr="00555361">
              <w:rPr>
                <w:i/>
                <w:sz w:val="20"/>
              </w:rPr>
              <w:t>not overly broad</w:t>
            </w:r>
            <w:r w:rsidRPr="00555361">
              <w:rPr>
                <w:i/>
                <w:sz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009A7584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009A7584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009A7584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009A7584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23246294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ABE9565" w14:textId="77777777" w:rsidR="006D5ACE" w:rsidRDefault="006D5ACE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1A571940" w14:textId="45E69A69" w:rsidR="007430DE" w:rsidRPr="00D7161C" w:rsidRDefault="005F070A" w:rsidP="003947AA">
      <w:pPr>
        <w:rPr>
          <w:rFonts w:ascii="Calibri" w:hAnsi="Calibri"/>
          <w:b/>
          <w:bCs/>
          <w:color w:val="106470"/>
          <w:sz w:val="32"/>
          <w:szCs w:val="32"/>
          <w:lang w:eastAsia="en-US"/>
        </w:rPr>
      </w:pPr>
      <w:r w:rsidRPr="00D7161C">
        <w:rPr>
          <w:rFonts w:ascii="Calibri" w:hAnsi="Calibri"/>
          <w:b/>
          <w:bCs/>
          <w:color w:val="106470"/>
          <w:sz w:val="32"/>
          <w:szCs w:val="32"/>
          <w:lang w:eastAsia="en-US"/>
        </w:rPr>
        <w:lastRenderedPageBreak/>
        <w:t xml:space="preserve">Attachment: </w:t>
      </w:r>
      <w:r w:rsidR="00433CC3" w:rsidRPr="00D7161C">
        <w:rPr>
          <w:rFonts w:ascii="Calibri" w:hAnsi="Calibri"/>
          <w:b/>
          <w:bCs/>
          <w:color w:val="106470"/>
          <w:sz w:val="32"/>
          <w:szCs w:val="32"/>
          <w:lang w:eastAsia="en-US"/>
        </w:rPr>
        <w:t>Overview of c</w:t>
      </w:r>
      <w:r w:rsidRPr="00D7161C">
        <w:rPr>
          <w:rFonts w:ascii="Calibri" w:hAnsi="Calibri"/>
          <w:b/>
          <w:bCs/>
          <w:color w:val="106470"/>
          <w:sz w:val="32"/>
          <w:szCs w:val="32"/>
          <w:lang w:eastAsia="en-US"/>
        </w:rPr>
        <w:t>ourse t</w:t>
      </w:r>
      <w:r w:rsidR="00785872" w:rsidRPr="00D7161C">
        <w:rPr>
          <w:rFonts w:ascii="Calibri" w:hAnsi="Calibri"/>
          <w:b/>
          <w:bCs/>
          <w:color w:val="106470"/>
          <w:sz w:val="32"/>
          <w:szCs w:val="32"/>
          <w:lang w:eastAsia="en-US"/>
        </w:rPr>
        <w:t>hemes</w:t>
      </w:r>
      <w:r w:rsidRPr="00D7161C">
        <w:rPr>
          <w:rFonts w:ascii="Calibri" w:hAnsi="Calibri"/>
          <w:b/>
          <w:bCs/>
          <w:color w:val="106470"/>
          <w:sz w:val="32"/>
          <w:szCs w:val="32"/>
          <w:lang w:eastAsia="en-US"/>
        </w:rPr>
        <w:t xml:space="preserve"> and current CISL interests</w:t>
      </w:r>
    </w:p>
    <w:p w14:paraId="55193305" w14:textId="42C739AE" w:rsidR="00785872" w:rsidRDefault="00785872" w:rsidP="003947AA"/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1833"/>
        <w:gridCol w:w="1701"/>
        <w:gridCol w:w="5477"/>
      </w:tblGrid>
      <w:tr w:rsidR="00433CC3" w:rsidRPr="00B44934" w14:paraId="438BEB66" w14:textId="77777777" w:rsidTr="00D71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pct"/>
            <w:gridSpan w:val="2"/>
            <w:tcBorders>
              <w:top w:val="single" w:sz="8" w:space="0" w:color="000000" w:themeColor="text1"/>
              <w:right w:val="single" w:sz="8" w:space="0" w:color="FFFFFF" w:themeColor="background1"/>
            </w:tcBorders>
            <w:shd w:val="clear" w:color="auto" w:fill="106470"/>
            <w:vAlign w:val="center"/>
          </w:tcPr>
          <w:p w14:paraId="4A45DD3B" w14:textId="59BD217B" w:rsidR="00433CC3" w:rsidRPr="00B44934" w:rsidRDefault="00433CC3" w:rsidP="00433CC3">
            <w:pPr>
              <w:jc w:val="left"/>
              <w:rPr>
                <w:rFonts w:cstheme="minorHAnsi"/>
                <w:b w:val="0"/>
                <w:bCs w:val="0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Course themes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06470"/>
            <w:vAlign w:val="center"/>
          </w:tcPr>
          <w:p w14:paraId="064063E5" w14:textId="462D4749" w:rsidR="00433CC3" w:rsidRPr="00B44934" w:rsidRDefault="00433CC3" w:rsidP="00BC646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US"/>
              </w:rPr>
            </w:pPr>
            <w:r w:rsidRPr="00B44934">
              <w:rPr>
                <w:rFonts w:cstheme="minorHAnsi"/>
                <w:szCs w:val="22"/>
                <w:lang w:eastAsia="en-US"/>
              </w:rPr>
              <w:t>Examples of current CISL interests</w:t>
            </w:r>
          </w:p>
        </w:tc>
      </w:tr>
      <w:tr w:rsidR="000769C6" w:rsidRPr="00B44934" w14:paraId="4E628281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4F1E4A3A" w14:textId="40632BE2" w:rsidR="000769C6" w:rsidRDefault="00AD2A94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Sustainability Outcomes</w:t>
            </w:r>
          </w:p>
          <w:p w14:paraId="4EA9EC85" w14:textId="21974CEA" w:rsidR="008B2944" w:rsidRPr="008B2944" w:rsidRDefault="008B2944" w:rsidP="003767B4">
            <w:pPr>
              <w:jc w:val="left"/>
              <w:rPr>
                <w:rFonts w:cstheme="minorHAnsi"/>
                <w:b w:val="0"/>
                <w:sz w:val="20"/>
                <w:szCs w:val="20"/>
                <w:lang w:eastAsia="en-US"/>
              </w:rPr>
            </w:pP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(You may </w:t>
            </w:r>
            <w:r>
              <w:rPr>
                <w:rFonts w:cstheme="minorHAnsi"/>
                <w:b w:val="0"/>
                <w:sz w:val="20"/>
                <w:szCs w:val="20"/>
                <w:lang w:eastAsia="en-US"/>
              </w:rPr>
              <w:t>wish to</w:t>
            </w:r>
            <w:r w:rsidR="00163D6F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 xml:space="preserve">refer to the </w:t>
            </w:r>
            <w:hyperlink r:id="rId8" w:history="1">
              <w:r w:rsidRPr="008B2944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  <w:lang w:eastAsia="en-US"/>
                </w:rPr>
                <w:t>UN Sustainable Development Goals</w:t>
              </w:r>
            </w:hyperlink>
            <w:r w:rsidRPr="008B2944">
              <w:rPr>
                <w:rFonts w:cstheme="minorHAnsi"/>
                <w:b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022190A1" w14:textId="7C0E60F1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Climate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93E" w14:textId="6582AB55" w:rsidR="000769C6" w:rsidRPr="00B44934" w:rsidRDefault="000769C6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Transitioning to the net zero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economy by decarbonising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3346AA">
              <w:rPr>
                <w:rFonts w:cstheme="minorHAnsi"/>
                <w:bCs/>
                <w:sz w:val="20"/>
                <w:szCs w:val="20"/>
                <w:lang w:eastAsia="en-US"/>
              </w:rPr>
              <w:t>the global economy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, including transport, energy, materials, agriculture, etc.</w:t>
            </w:r>
          </w:p>
        </w:tc>
      </w:tr>
      <w:tr w:rsidR="000769C6" w:rsidRPr="00B44934" w14:paraId="655579BD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E63036E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34356D80" w14:textId="67E3849A" w:rsidR="000769C6" w:rsidRPr="00B44934" w:rsidRDefault="000769C6" w:rsidP="007858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Nature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F34" w14:textId="37975C90" w:rsidR="000769C6" w:rsidRPr="00B44934" w:rsidRDefault="000769C6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P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 xml:space="preserve">rotecting and restoring nature, </w:t>
            </w:r>
            <w:proofErr w:type="gramStart"/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>i.e.</w:t>
            </w:r>
            <w:proofErr w:type="gramEnd"/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enhancing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natural systems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2474F419" w14:textId="44C6C386" w:rsidR="000769C6" w:rsidRPr="00B44934" w:rsidRDefault="009D0535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Circular economy, </w:t>
            </w:r>
            <w:proofErr w:type="gramStart"/>
            <w:r w:rsidRPr="00B44934">
              <w:rPr>
                <w:rFonts w:cstheme="minorHAnsi"/>
                <w:sz w:val="20"/>
                <w:szCs w:val="20"/>
                <w:lang w:eastAsia="en-US"/>
              </w:rPr>
              <w:t>i.e.</w:t>
            </w:r>
            <w:proofErr w:type="gramEnd"/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eliminating </w:t>
            </w:r>
            <w:r w:rsidR="00027014">
              <w:rPr>
                <w:rFonts w:cstheme="minorHAnsi"/>
                <w:sz w:val="20"/>
                <w:szCs w:val="20"/>
                <w:lang w:eastAsia="en-US"/>
              </w:rPr>
              <w:t>virgin hard / soft commodity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 inputs and losses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/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r w:rsidRPr="00B44934">
              <w:rPr>
                <w:rFonts w:cstheme="minorHAnsi"/>
                <w:sz w:val="20"/>
                <w:szCs w:val="20"/>
                <w:lang w:eastAsia="en-US"/>
              </w:rPr>
              <w:t>waste</w:t>
            </w:r>
            <w:r w:rsidR="00433CC3" w:rsidRPr="00B44934">
              <w:rPr>
                <w:rFonts w:cstheme="minorHAnsi"/>
                <w:sz w:val="20"/>
                <w:szCs w:val="20"/>
                <w:lang w:eastAsia="en-US"/>
              </w:rPr>
              <w:t>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0769C6" w:rsidRPr="00B44934" w14:paraId="0F676BD5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D9FF198" w14:textId="77777777" w:rsidR="000769C6" w:rsidRPr="00B44934" w:rsidRDefault="000769C6" w:rsidP="009D0535">
            <w:pPr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B2C3EE0" w14:textId="5787539F" w:rsidR="000769C6" w:rsidRPr="00B44934" w:rsidRDefault="000769C6" w:rsidP="007858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Society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97" w14:textId="1847C2E6" w:rsidR="000769C6" w:rsidRPr="00B44934" w:rsidRDefault="000769C6" w:rsidP="00BC646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Building inclusive and resilient societies</w:t>
            </w:r>
            <w:r w:rsidR="00A9771A" w:rsidRPr="00B44934">
              <w:rPr>
                <w:rFonts w:cstheme="minorHAnsi"/>
                <w:sz w:val="20"/>
                <w:szCs w:val="20"/>
                <w:lang w:eastAsia="en-US"/>
              </w:rPr>
              <w:t xml:space="preserve">, including through </w:t>
            </w:r>
            <w:r w:rsidRPr="00B44934">
              <w:rPr>
                <w:rFonts w:cstheme="minorHAnsi"/>
                <w:bCs/>
                <w:sz w:val="20"/>
                <w:szCs w:val="20"/>
                <w:lang w:eastAsia="en-US"/>
              </w:rPr>
              <w:t>addressing inequalities</w:t>
            </w:r>
            <w:r w:rsidR="00BC6466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and creating work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9D0535" w:rsidRPr="00B44934" w14:paraId="3856D16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 w:val="restart"/>
            <w:tcBorders>
              <w:right w:val="single" w:sz="4" w:space="0" w:color="auto"/>
            </w:tcBorders>
            <w:vAlign w:val="center"/>
          </w:tcPr>
          <w:p w14:paraId="3F05FC01" w14:textId="46139E29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Leadership Responses/ Levers for Change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63A17A98" w14:textId="7684BD0E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Business Leading System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A74" w14:textId="140CB585" w:rsidR="009D0535" w:rsidRDefault="00102303" w:rsidP="009D0535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9D0535" w:rsidRPr="00B44934">
              <w:rPr>
                <w:rFonts w:cstheme="minorHAnsi"/>
                <w:sz w:val="20"/>
                <w:szCs w:val="20"/>
                <w:lang w:eastAsia="en-US"/>
              </w:rPr>
              <w:t>ow sustainability ambition is fostered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18AC08" w14:textId="55426CAB" w:rsidR="00E6659D" w:rsidRDefault="00E6659D" w:rsidP="00E665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>Building leadership capacity to understand, drive and influence transformational change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4E8F6F4" w14:textId="5087EBB9" w:rsidR="008B2944" w:rsidRPr="008B2944" w:rsidRDefault="00AD2A94" w:rsidP="008B29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The </w:t>
            </w:r>
            <w:hyperlink r:id="rId9" w:history="1"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 xml:space="preserve">Rewiring </w:t>
              </w:r>
              <w:r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L</w:t>
              </w:r>
              <w:r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eadership</w:t>
              </w:r>
            </w:hyperlink>
            <w:r>
              <w:rPr>
                <w:rFonts w:cstheme="minorHAnsi"/>
                <w:sz w:val="20"/>
                <w:szCs w:val="20"/>
                <w:lang w:eastAsia="en-US"/>
              </w:rPr>
              <w:t xml:space="preserve"> framework.</w:t>
            </w:r>
          </w:p>
        </w:tc>
      </w:tr>
      <w:tr w:rsidR="00AD2A94" w:rsidRPr="00B44934" w14:paraId="0926B35A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8DF4CE4" w14:textId="25ABACDF" w:rsidR="00AD2A94" w:rsidRPr="00B44934" w:rsidRDefault="00AD2A94" w:rsidP="00AD2A94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9959222" w14:textId="5D55C0F0" w:rsidR="00AD2A94" w:rsidRPr="00B44934" w:rsidRDefault="001F1294" w:rsidP="00AD2A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Concepts for a Sustainable Future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AE3" w14:textId="087F5CC4" w:rsidR="00AD2A94" w:rsidRPr="00B44934" w:rsidRDefault="00AD2A94" w:rsidP="00AD2A94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cstheme="minorHAnsi"/>
                <w:i/>
                <w:sz w:val="20"/>
                <w:szCs w:val="20"/>
                <w:lang w:eastAsia="en-US"/>
              </w:rPr>
              <w:t>As a means to</w:t>
            </w:r>
            <w:proofErr w:type="gramEnd"/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9D0535" w:rsidRPr="00B44934" w14:paraId="517687B3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1A508A9A" w14:textId="7A523466" w:rsidR="009D0535" w:rsidRPr="00B44934" w:rsidRDefault="009D0535" w:rsidP="009D0535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</w:tcPr>
          <w:p w14:paraId="1EE1E5FA" w14:textId="3DD7A4F5" w:rsidR="009D0535" w:rsidRPr="00B44934" w:rsidRDefault="001F1294" w:rsidP="009D05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The Need for Radical Change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BDB" w14:textId="3BD9BE99" w:rsidR="009D0535" w:rsidRPr="003346AA" w:rsidRDefault="00AD2A94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346AA">
              <w:rPr>
                <w:sz w:val="20"/>
              </w:rPr>
              <w:t>How business government and financial institutions can cooperate to build a sustainable economy</w:t>
            </w:r>
            <w:r w:rsidR="003346AA">
              <w:rPr>
                <w:sz w:val="20"/>
              </w:rPr>
              <w:t xml:space="preserve">, as outlined by the </w:t>
            </w:r>
            <w:hyperlink r:id="rId10" w:history="1">
              <w:r w:rsidR="003346AA" w:rsidRPr="00AD2A94">
                <w:rPr>
                  <w:rStyle w:val="Hyperlink"/>
                  <w:rFonts w:cstheme="minorHAnsi"/>
                  <w:sz w:val="20"/>
                  <w:szCs w:val="20"/>
                  <w:lang w:eastAsia="en-US"/>
                </w:rPr>
                <w:t>Rewiring the Economy</w:t>
              </w:r>
            </w:hyperlink>
            <w:r w:rsidR="003346AA">
              <w:rPr>
                <w:rFonts w:cstheme="minorHAnsi"/>
                <w:sz w:val="20"/>
                <w:szCs w:val="20"/>
                <w:lang w:eastAsia="en-US"/>
              </w:rPr>
              <w:t xml:space="preserve"> framework</w:t>
            </w:r>
            <w:r w:rsidRPr="003346AA">
              <w:rPr>
                <w:sz w:val="20"/>
              </w:rPr>
              <w:t>.</w:t>
            </w:r>
          </w:p>
        </w:tc>
      </w:tr>
      <w:tr w:rsidR="003C591A" w:rsidRPr="00B44934" w14:paraId="5051652E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24A1CE3C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8C84" w14:textId="6D5E186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Culture and Practices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AB8F" w14:textId="77140819" w:rsidR="004B73E0" w:rsidRDefault="004B73E0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Measures and targets: what we need to know about companies and the data infrastructure lying behind it</w:t>
            </w:r>
            <w:r w:rsidR="00AD2A94">
              <w:rPr>
                <w:rFonts w:cstheme="minorHAnsi"/>
                <w:bCs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528910D" w14:textId="5687A15D" w:rsidR="003C591A" w:rsidRPr="004B73E0" w:rsidRDefault="003C591A" w:rsidP="004B73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The influence of organisational culture 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on how sustainability ambition is fostered, </w:t>
            </w:r>
            <w:proofErr w:type="gramStart"/>
            <w:r w:rsidRPr="004B73E0">
              <w:rPr>
                <w:rFonts w:cstheme="minorHAnsi"/>
                <w:sz w:val="20"/>
                <w:szCs w:val="20"/>
                <w:lang w:eastAsia="en-US"/>
              </w:rPr>
              <w:t>resourced</w:t>
            </w:r>
            <w:proofErr w:type="gramEnd"/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and led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2F0DD8F4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5C3FEC5A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2CE9" w14:textId="1E2EBE94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Cooperation, Collaboration &amp; Partnerships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B5EC" w14:textId="0F1D9906" w:rsidR="003C591A" w:rsidRPr="008F19B6" w:rsidRDefault="00373BE9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proofErr w:type="gramStart"/>
            <w:r>
              <w:rPr>
                <w:rFonts w:cstheme="minorHAnsi"/>
                <w:i/>
                <w:sz w:val="20"/>
                <w:szCs w:val="20"/>
                <w:lang w:eastAsia="en-US"/>
              </w:rPr>
              <w:t>As a means to</w:t>
            </w:r>
            <w:proofErr w:type="gramEnd"/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support </w:t>
            </w:r>
            <w:r w:rsidR="008F19B6"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C591A" w:rsidRPr="00B44934" w14:paraId="4B790E9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369AB28F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FB4D" w14:textId="3FB4F5FE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Production &amp; Consumption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5B3A1" w14:textId="451A6AED" w:rsidR="003C591A" w:rsidRPr="008F19B6" w:rsidRDefault="008F19B6" w:rsidP="008F19B6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eastAsia="en-US"/>
              </w:rPr>
            </w:pP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Most of the other themes can support this.</w:t>
            </w:r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13B74E1C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1A6B44E1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2609" w14:textId="590AEE1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Design &amp; Technology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E6E3" w14:textId="2C465769" w:rsidR="003C591A" w:rsidRPr="004B73E0" w:rsidRDefault="004B73E0" w:rsidP="004B73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The models, methods, </w:t>
            </w:r>
            <w:proofErr w:type="gramStart"/>
            <w:r w:rsidRPr="004B73E0">
              <w:rPr>
                <w:rFonts w:cstheme="minorHAnsi"/>
                <w:sz w:val="20"/>
                <w:szCs w:val="20"/>
                <w:lang w:eastAsia="en-US"/>
              </w:rPr>
              <w:t>data</w:t>
            </w:r>
            <w:proofErr w:type="gramEnd"/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591A" w:rsidRPr="00B44934" w14:paraId="2C5C2562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2FCD6C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8B043" w14:textId="610A009D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 xml:space="preserve">Government Policy &amp; Regulations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D857" w14:textId="21941CD4" w:rsidR="003C591A" w:rsidRDefault="004B73E0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 xml:space="preserve">ow public policy should act with business to address the economic, social and technical barriers to </w:t>
            </w:r>
            <w:proofErr w:type="gramStart"/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whole-society</w:t>
            </w:r>
            <w:proofErr w:type="gramEnd"/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 xml:space="preserve"> change, and how business can motivate the required political action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461EF2F9" w14:textId="4A22C802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Shifting the operating environment: Enabling broader market transition by influencing policy, regulation, </w:t>
            </w:r>
            <w:proofErr w:type="gramStart"/>
            <w:r w:rsidRPr="00E6659D">
              <w:rPr>
                <w:rFonts w:cstheme="minorHAnsi"/>
                <w:sz w:val="20"/>
                <w:szCs w:val="20"/>
                <w:lang w:eastAsia="en-US"/>
              </w:rPr>
              <w:t>politics</w:t>
            </w:r>
            <w:proofErr w:type="gramEnd"/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 and debate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0442318" w14:textId="77777777" w:rsidTr="008B2944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4ECDBB99" w14:textId="77777777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B572" w14:textId="70E3DE85" w:rsidR="003C591A" w:rsidRPr="00B44934" w:rsidRDefault="003C591A" w:rsidP="003C591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Sustainable Finance &amp; Investment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C097" w14:textId="335FCA25" w:rsidR="003C591A" w:rsidRPr="00102303" w:rsidRDefault="00102303" w:rsidP="001023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102303">
              <w:rPr>
                <w:rFonts w:cstheme="minorHAnsi"/>
                <w:sz w:val="20"/>
                <w:szCs w:val="20"/>
                <w:lang w:eastAsia="en-US"/>
              </w:rPr>
              <w:t xml:space="preserve">The models, methods, </w:t>
            </w:r>
            <w:proofErr w:type="gramStart"/>
            <w:r w:rsidRPr="00102303">
              <w:rPr>
                <w:rFonts w:cstheme="minorHAnsi"/>
                <w:sz w:val="20"/>
                <w:szCs w:val="20"/>
                <w:lang w:eastAsia="en-US"/>
              </w:rPr>
              <w:t>data</w:t>
            </w:r>
            <w:proofErr w:type="gramEnd"/>
            <w:r w:rsidRPr="00102303">
              <w:rPr>
                <w:rFonts w:cstheme="minorHAnsi"/>
                <w:sz w:val="20"/>
                <w:szCs w:val="20"/>
                <w:lang w:eastAsia="en-US"/>
              </w:rPr>
              <w:t xml:space="preserve"> and analytics needed to address physical, transition, market and operational sustainability risks and opportunities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C591A" w:rsidRPr="00B44934" w14:paraId="4D560EE7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  <w:vAlign w:val="center"/>
          </w:tcPr>
          <w:p w14:paraId="7BB2200C" w14:textId="78D26BD4" w:rsidR="003C591A" w:rsidRPr="00B44934" w:rsidRDefault="003C591A" w:rsidP="003C591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55EE" w14:textId="05A705CF" w:rsidR="003C591A" w:rsidRPr="00B44934" w:rsidRDefault="003C591A" w:rsidP="003C591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Organisational Strategy and Business Models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5071" w14:textId="7CDAC9F9" w:rsidR="003C591A" w:rsidRDefault="00102303" w:rsidP="003C591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H</w:t>
            </w:r>
            <w:r w:rsidR="003C591A" w:rsidRPr="00B44934">
              <w:rPr>
                <w:rFonts w:cstheme="minorHAnsi"/>
                <w:sz w:val="20"/>
                <w:szCs w:val="20"/>
                <w:lang w:eastAsia="en-US"/>
              </w:rPr>
              <w:t>ow to build net zero, restorative, circular and inclusive (redistributive) companies in practice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9816E6D" w14:textId="7083622B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Challenging and </w:t>
            </w:r>
            <w:proofErr w:type="gramStart"/>
            <w:r w:rsidRPr="00E6659D">
              <w:rPr>
                <w:rFonts w:cstheme="minorHAnsi"/>
                <w:sz w:val="20"/>
                <w:szCs w:val="20"/>
                <w:lang w:eastAsia="en-US"/>
              </w:rPr>
              <w:t>supporting  organisations</w:t>
            </w:r>
            <w:proofErr w:type="gramEnd"/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 to embed sustainability in their strategies and key decisions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1EE1891E" w14:textId="7B5A109E" w:rsidR="00E6659D" w:rsidRPr="00E6659D" w:rsidRDefault="00E6659D" w:rsidP="00E665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Fostering and accelerating new sustainable enterprises, business models, </w:t>
            </w:r>
            <w:proofErr w:type="gramStart"/>
            <w:r w:rsidRPr="00E6659D">
              <w:rPr>
                <w:rFonts w:cstheme="minorHAnsi"/>
                <w:sz w:val="20"/>
                <w:szCs w:val="20"/>
                <w:lang w:eastAsia="en-US"/>
              </w:rPr>
              <w:t>products</w:t>
            </w:r>
            <w:proofErr w:type="gramEnd"/>
            <w:r w:rsidRPr="00E6659D">
              <w:rPr>
                <w:rFonts w:cstheme="minorHAnsi"/>
                <w:sz w:val="20"/>
                <w:szCs w:val="20"/>
                <w:lang w:eastAsia="en-US"/>
              </w:rPr>
              <w:t xml:space="preserve"> and services</w:t>
            </w:r>
            <w:r w:rsidR="00AD2A94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52C1C03C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6B77253A" w14:textId="76B42C7E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C6D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Governance (Corporate and International)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344" w14:textId="4A78948C" w:rsidR="003346AA" w:rsidRPr="00B44934" w:rsidRDefault="003346AA" w:rsidP="003346AA">
            <w:pPr>
              <w:pStyle w:val="ListParagraph"/>
              <w:numPr>
                <w:ilvl w:val="0"/>
                <w:numId w:val="34"/>
              </w:num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cstheme="minorHAnsi"/>
                <w:i/>
                <w:sz w:val="20"/>
                <w:szCs w:val="20"/>
                <w:lang w:eastAsia="en-US"/>
              </w:rPr>
              <w:t>As a means to</w:t>
            </w:r>
            <w:proofErr w:type="gramEnd"/>
            <w:r>
              <w:rPr>
                <w:rFonts w:cstheme="minorHAnsi"/>
                <w:i/>
                <w:sz w:val="20"/>
                <w:szCs w:val="20"/>
                <w:lang w:eastAsia="en-US"/>
              </w:rPr>
              <w:t xml:space="preserve"> support </w:t>
            </w:r>
            <w:r w:rsidRPr="008F19B6">
              <w:rPr>
                <w:rFonts w:cstheme="minorHAnsi"/>
                <w:i/>
                <w:sz w:val="20"/>
                <w:szCs w:val="20"/>
                <w:lang w:eastAsia="en-US"/>
              </w:rPr>
              <w:t>any of the other themes.</w:t>
            </w:r>
          </w:p>
        </w:tc>
      </w:tr>
      <w:tr w:rsidR="003346AA" w:rsidRPr="00B44934" w14:paraId="2230F9CD" w14:textId="77777777" w:rsidTr="008B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right w:val="single" w:sz="4" w:space="0" w:color="auto"/>
            </w:tcBorders>
          </w:tcPr>
          <w:p w14:paraId="2A9F6EF2" w14:textId="588A08D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76E" w14:textId="77777777" w:rsidR="003346AA" w:rsidRPr="00B44934" w:rsidRDefault="003346AA" w:rsidP="003346AA">
            <w:pPr>
              <w:tabs>
                <w:tab w:val="num" w:pos="43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Communication and Education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BE" w14:textId="7C72A575" w:rsidR="003346AA" w:rsidRPr="004B73E0" w:rsidRDefault="003346AA" w:rsidP="003346A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 xml:space="preserve">Disclosure: what we need to know about companies, and the forms of transparency and accountability lying behind it </w:t>
            </w:r>
            <w:proofErr w:type="gramStart"/>
            <w:r w:rsidRPr="004B73E0">
              <w:rPr>
                <w:rFonts w:cstheme="minorHAnsi"/>
                <w:sz w:val="20"/>
                <w:szCs w:val="20"/>
                <w:lang w:eastAsia="en-US"/>
              </w:rPr>
              <w:t>Developing</w:t>
            </w:r>
            <w:proofErr w:type="gramEnd"/>
            <w:r w:rsidRPr="004B73E0">
              <w:rPr>
                <w:rFonts w:cstheme="minorHAnsi"/>
                <w:sz w:val="20"/>
                <w:szCs w:val="20"/>
                <w:lang w:eastAsia="en-US"/>
              </w:rPr>
              <w:t xml:space="preserve"> leadership </w:t>
            </w:r>
            <w:r w:rsidRPr="004B73E0">
              <w:rPr>
                <w:rFonts w:cstheme="minorHAnsi"/>
                <w:bCs/>
                <w:sz w:val="20"/>
                <w:szCs w:val="20"/>
                <w:lang w:eastAsia="en-US"/>
              </w:rPr>
              <w:t>capacity</w:t>
            </w:r>
            <w:r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346AA" w:rsidRPr="00B44934" w14:paraId="6E6AAC46" w14:textId="77777777" w:rsidTr="008B29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26B37E" w14:textId="77777777" w:rsidR="003346AA" w:rsidRPr="00B44934" w:rsidRDefault="003346AA" w:rsidP="003346AA">
            <w:pPr>
              <w:tabs>
                <w:tab w:val="num" w:pos="432"/>
              </w:tabs>
              <w:jc w:val="lef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A09" w14:textId="1BDF1EB9" w:rsidR="003346AA" w:rsidRPr="00B44934" w:rsidRDefault="003346AA" w:rsidP="003346AA">
            <w:pPr>
              <w:tabs>
                <w:tab w:val="num" w:pos="432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  <w:r w:rsidRPr="00B44934">
              <w:rPr>
                <w:rFonts w:cstheme="minorHAnsi"/>
                <w:sz w:val="20"/>
                <w:szCs w:val="20"/>
                <w:lang w:eastAsia="en-US"/>
              </w:rPr>
              <w:t>Corporate Philanthropy (tbc)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793" w14:textId="77777777" w:rsidR="003346AA" w:rsidRPr="00B44934" w:rsidRDefault="003346AA" w:rsidP="003346A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0D5FEC99" w14:textId="77777777" w:rsidR="00785872" w:rsidRPr="00785872" w:rsidRDefault="00785872" w:rsidP="00785872">
      <w:pPr>
        <w:jc w:val="left"/>
        <w:rPr>
          <w:rFonts w:ascii="Arial" w:hAnsi="Arial" w:cs="Arial"/>
          <w:b/>
          <w:bCs/>
          <w:i/>
          <w:szCs w:val="22"/>
          <w:lang w:eastAsia="en-US"/>
        </w:rPr>
      </w:pPr>
    </w:p>
    <w:sectPr w:rsidR="00785872" w:rsidRPr="00785872" w:rsidSect="006D5ACE"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2329" w14:textId="77777777" w:rsidR="001D78B2" w:rsidRDefault="001D78B2" w:rsidP="002B4CFC">
      <w:r>
        <w:separator/>
      </w:r>
    </w:p>
  </w:endnote>
  <w:endnote w:type="continuationSeparator" w:id="0">
    <w:p w14:paraId="6A49F6F3" w14:textId="77777777" w:rsidR="001D78B2" w:rsidRDefault="001D78B2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FF55" w14:textId="77777777" w:rsidR="001D78B2" w:rsidRDefault="001D78B2" w:rsidP="002B4CFC">
      <w:r>
        <w:separator/>
      </w:r>
    </w:p>
  </w:footnote>
  <w:footnote w:type="continuationSeparator" w:id="0">
    <w:p w14:paraId="38343DBA" w14:textId="77777777" w:rsidR="001D78B2" w:rsidRDefault="001D78B2" w:rsidP="002B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05003">
    <w:abstractNumId w:val="13"/>
  </w:num>
  <w:num w:numId="2" w16cid:durableId="832525895">
    <w:abstractNumId w:val="22"/>
  </w:num>
  <w:num w:numId="3" w16cid:durableId="1593246520">
    <w:abstractNumId w:val="31"/>
  </w:num>
  <w:num w:numId="4" w16cid:durableId="1251160108">
    <w:abstractNumId w:val="7"/>
  </w:num>
  <w:num w:numId="5" w16cid:durableId="855075914">
    <w:abstractNumId w:val="5"/>
  </w:num>
  <w:num w:numId="6" w16cid:durableId="575744259">
    <w:abstractNumId w:val="6"/>
  </w:num>
  <w:num w:numId="7" w16cid:durableId="859856886">
    <w:abstractNumId w:val="1"/>
  </w:num>
  <w:num w:numId="8" w16cid:durableId="852257831">
    <w:abstractNumId w:val="24"/>
  </w:num>
  <w:num w:numId="9" w16cid:durableId="570848220">
    <w:abstractNumId w:val="30"/>
  </w:num>
  <w:num w:numId="10" w16cid:durableId="734283659">
    <w:abstractNumId w:val="9"/>
  </w:num>
  <w:num w:numId="11" w16cid:durableId="591671669">
    <w:abstractNumId w:val="12"/>
  </w:num>
  <w:num w:numId="12" w16cid:durableId="2051419405">
    <w:abstractNumId w:val="27"/>
  </w:num>
  <w:num w:numId="13" w16cid:durableId="817041961">
    <w:abstractNumId w:val="25"/>
  </w:num>
  <w:num w:numId="14" w16cid:durableId="38674571">
    <w:abstractNumId w:val="20"/>
  </w:num>
  <w:num w:numId="15" w16cid:durableId="1501431296">
    <w:abstractNumId w:val="18"/>
  </w:num>
  <w:num w:numId="16" w16cid:durableId="13893780">
    <w:abstractNumId w:val="26"/>
  </w:num>
  <w:num w:numId="17" w16cid:durableId="1316567701">
    <w:abstractNumId w:val="32"/>
  </w:num>
  <w:num w:numId="18" w16cid:durableId="973219349">
    <w:abstractNumId w:val="14"/>
  </w:num>
  <w:num w:numId="19" w16cid:durableId="330983413">
    <w:abstractNumId w:val="29"/>
  </w:num>
  <w:num w:numId="20" w16cid:durableId="1580674867">
    <w:abstractNumId w:val="21"/>
  </w:num>
  <w:num w:numId="21" w16cid:durableId="821848730">
    <w:abstractNumId w:val="16"/>
  </w:num>
  <w:num w:numId="22" w16cid:durableId="1001810484">
    <w:abstractNumId w:val="11"/>
  </w:num>
  <w:num w:numId="23" w16cid:durableId="493571437">
    <w:abstractNumId w:val="2"/>
  </w:num>
  <w:num w:numId="24" w16cid:durableId="120809745">
    <w:abstractNumId w:val="4"/>
  </w:num>
  <w:num w:numId="25" w16cid:durableId="1746688697">
    <w:abstractNumId w:val="33"/>
  </w:num>
  <w:num w:numId="26" w16cid:durableId="1946381365">
    <w:abstractNumId w:val="23"/>
  </w:num>
  <w:num w:numId="27" w16cid:durableId="601111634">
    <w:abstractNumId w:val="17"/>
  </w:num>
  <w:num w:numId="28" w16cid:durableId="1764451118">
    <w:abstractNumId w:val="10"/>
  </w:num>
  <w:num w:numId="29" w16cid:durableId="367221019">
    <w:abstractNumId w:val="28"/>
  </w:num>
  <w:num w:numId="30" w16cid:durableId="875846440">
    <w:abstractNumId w:val="19"/>
  </w:num>
  <w:num w:numId="31" w16cid:durableId="657421999">
    <w:abstractNumId w:val="0"/>
  </w:num>
  <w:num w:numId="32" w16cid:durableId="1434277824">
    <w:abstractNumId w:val="8"/>
  </w:num>
  <w:num w:numId="33" w16cid:durableId="820971546">
    <w:abstractNumId w:val="15"/>
  </w:num>
  <w:num w:numId="34" w16cid:durableId="158278902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AA"/>
    <w:rsid w:val="0001708E"/>
    <w:rsid w:val="00027014"/>
    <w:rsid w:val="00031A18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B1E7E"/>
    <w:rsid w:val="000B37D2"/>
    <w:rsid w:val="000B3D34"/>
    <w:rsid w:val="000B3D64"/>
    <w:rsid w:val="000B5473"/>
    <w:rsid w:val="000B5A97"/>
    <w:rsid w:val="000B785C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488D"/>
    <w:rsid w:val="001B52ED"/>
    <w:rsid w:val="001C5E6D"/>
    <w:rsid w:val="001C6CAF"/>
    <w:rsid w:val="001D59D9"/>
    <w:rsid w:val="001D78B2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C024E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7161C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sl.cam.ac.uk/about/rewiring-the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sl.cam.ac.uk/about/leadership-hub" TargetMode="External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09CB-EC46-4833-A58D-2957B7BD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Programme for Sustainability Leadership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Katie Wain</cp:lastModifiedBy>
  <cp:revision>2</cp:revision>
  <cp:lastPrinted>2018-07-11T10:20:00Z</cp:lastPrinted>
  <dcterms:created xsi:type="dcterms:W3CDTF">2022-09-29T13:33:00Z</dcterms:created>
  <dcterms:modified xsi:type="dcterms:W3CDTF">2022-09-29T13:33:00Z</dcterms:modified>
</cp:coreProperties>
</file>